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方正小标宋简体" w:cs="方正小标宋简体"/>
          <w:snapToGrid w:val="0"/>
          <w:kern w:val="0"/>
          <w:sz w:val="44"/>
          <w:szCs w:val="44"/>
        </w:rPr>
      </w:pPr>
      <w:bookmarkStart w:id="0" w:name="_GoBack"/>
      <w:bookmarkEnd w:id="0"/>
      <w:r>
        <w:rPr>
          <w:rFonts w:hint="eastAsia" w:ascii="宋体" w:hAnsi="宋体" w:eastAsia="方正小标宋简体" w:cs="方正小标宋简体"/>
          <w:snapToGrid w:val="0"/>
          <w:kern w:val="0"/>
          <w:sz w:val="44"/>
          <w:szCs w:val="44"/>
        </w:rPr>
        <w:t>云南建设基础设施投资股份有限公司关于</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方正小标宋简体" w:cs="方正小标宋简体"/>
          <w:spacing w:val="-20"/>
          <w:kern w:val="0"/>
          <w:sz w:val="44"/>
          <w:szCs w:val="44"/>
          <w:lang w:val="en-US" w:eastAsia="zh-CN"/>
        </w:rPr>
      </w:pPr>
      <w:r>
        <w:rPr>
          <w:rFonts w:hint="eastAsia" w:ascii="宋体" w:hAnsi="宋体" w:eastAsia="方正小标宋简体" w:cs="方正小标宋简体"/>
          <w:snapToGrid w:val="0"/>
          <w:spacing w:val="-20"/>
          <w:kern w:val="0"/>
          <w:sz w:val="44"/>
          <w:szCs w:val="44"/>
          <w:lang w:val="en-US" w:eastAsia="zh-CN"/>
        </w:rPr>
        <w:t>提名（完成）2023年云南省科技进步奖项目</w:t>
      </w:r>
      <w:r>
        <w:rPr>
          <w:rFonts w:hint="eastAsia" w:ascii="宋体" w:hAnsi="宋体" w:eastAsia="方正小标宋简体" w:cs="方正小标宋简体"/>
          <w:snapToGrid w:val="0"/>
          <w:spacing w:val="-20"/>
          <w:kern w:val="0"/>
          <w:sz w:val="44"/>
          <w:szCs w:val="44"/>
        </w:rPr>
        <w:t>的</w:t>
      </w:r>
      <w:r>
        <w:rPr>
          <w:rFonts w:hint="eastAsia" w:ascii="宋体" w:hAnsi="宋体" w:eastAsia="方正小标宋简体" w:cs="方正小标宋简体"/>
          <w:snapToGrid w:val="0"/>
          <w:spacing w:val="-20"/>
          <w:kern w:val="0"/>
          <w:sz w:val="44"/>
          <w:szCs w:val="44"/>
          <w:lang w:val="en-US" w:eastAsia="zh-CN"/>
        </w:rPr>
        <w:t>公示</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sz w:val="32"/>
          <w:szCs w:val="32"/>
          <w:lang w:val="en-US" w:eastAsia="zh-CN"/>
        </w:rPr>
      </w:pPr>
      <w:r>
        <w:rPr>
          <w:rFonts w:hint="eastAsia" w:ascii="宋体" w:hAnsi="宋体" w:eastAsia="仿宋_GB2312"/>
          <w:sz w:val="32"/>
          <w:szCs w:val="32"/>
          <w:lang w:val="en-US" w:eastAsia="zh-CN"/>
        </w:rPr>
        <w:t>根据《云南省科技厅关于</w:t>
      </w:r>
      <w:r>
        <w:rPr>
          <w:rFonts w:hint="eastAsia" w:ascii="宋体" w:hAnsi="宋体" w:eastAsiaTheme="minorEastAsia" w:cstheme="minorEastAsia"/>
          <w:sz w:val="32"/>
          <w:szCs w:val="32"/>
          <w:lang w:val="en-US" w:eastAsia="zh-CN"/>
        </w:rPr>
        <w:t>2023</w:t>
      </w:r>
      <w:r>
        <w:rPr>
          <w:rFonts w:hint="eastAsia" w:ascii="宋体" w:hAnsi="宋体" w:eastAsia="仿宋_GB2312"/>
          <w:sz w:val="32"/>
          <w:szCs w:val="32"/>
          <w:lang w:val="en-US" w:eastAsia="zh-CN"/>
        </w:rPr>
        <w:t>年度云南省科学技术奖提名工作的通知》（云科奖发</w:t>
      </w:r>
      <w:r>
        <w:rPr>
          <w:rFonts w:hint="eastAsia" w:ascii="宋体" w:hAnsi="宋体" w:eastAsia="仿宋_GB2312"/>
          <w:sz w:val="32"/>
          <w:szCs w:val="32"/>
          <w:lang w:val="en-US" w:eastAsia="zh-CN"/>
        </w:rPr>
        <w:t>〔2023〕</w:t>
      </w:r>
      <w:r>
        <w:rPr>
          <w:rFonts w:hint="eastAsia" w:ascii="宋体" w:hAnsi="宋体" w:eastAsiaTheme="minorEastAsia" w:cstheme="minorEastAsia"/>
          <w:sz w:val="32"/>
          <w:szCs w:val="32"/>
          <w:lang w:val="en-US" w:eastAsia="zh-CN"/>
        </w:rPr>
        <w:t>1</w:t>
      </w:r>
      <w:r>
        <w:rPr>
          <w:rFonts w:hint="eastAsia" w:ascii="宋体" w:hAnsi="宋体" w:eastAsia="仿宋_GB2312"/>
          <w:sz w:val="32"/>
          <w:szCs w:val="32"/>
          <w:lang w:val="en-US" w:eastAsia="zh-CN"/>
        </w:rPr>
        <w:t>号）的要求，云南建设基础设施投资股份有限公司对所提名、完成的“隧道施工运营期结构安全监测与智能预警关键技术研究”科技创新项目进行公示。公示内容为</w:t>
      </w:r>
      <w:r>
        <w:rPr>
          <w:rFonts w:hint="default" w:ascii="宋体" w:hAnsi="宋体" w:eastAsia="仿宋_GB2312"/>
          <w:sz w:val="32"/>
          <w:szCs w:val="32"/>
          <w:lang w:val="en-US" w:eastAsia="zh-CN"/>
        </w:rPr>
        <w:t>项目名称、主要完成人基本情况</w:t>
      </w:r>
      <w:r>
        <w:rPr>
          <w:rFonts w:hint="eastAsia" w:ascii="宋体" w:hAnsi="宋体" w:eastAsia="仿宋_GB2312"/>
          <w:sz w:val="32"/>
          <w:szCs w:val="32"/>
          <w:lang w:val="en-US" w:eastAsia="zh-CN"/>
        </w:rPr>
        <w:t>、</w:t>
      </w:r>
      <w:r>
        <w:rPr>
          <w:rFonts w:hint="default" w:ascii="宋体" w:hAnsi="宋体" w:eastAsia="仿宋_GB2312"/>
          <w:sz w:val="32"/>
          <w:szCs w:val="32"/>
          <w:lang w:val="en-US" w:eastAsia="zh-CN"/>
        </w:rPr>
        <w:t>主要完成单位、提名者及提名等级、主要知识产权等</w:t>
      </w:r>
      <w:r>
        <w:rPr>
          <w:rFonts w:hint="eastAsia" w:ascii="宋体" w:hAnsi="宋体" w:eastAsia="仿宋_GB2312"/>
          <w:sz w:val="32"/>
          <w:szCs w:val="32"/>
          <w:lang w:val="en-US" w:eastAsia="zh-CN"/>
        </w:rPr>
        <w:t>，公示时间自</w:t>
      </w:r>
      <w:r>
        <w:rPr>
          <w:rFonts w:hint="eastAsia" w:ascii="宋体" w:hAnsi="宋体" w:eastAsiaTheme="minorEastAsia" w:cstheme="minorEastAsia"/>
          <w:sz w:val="32"/>
          <w:szCs w:val="32"/>
          <w:lang w:val="en-US" w:eastAsia="zh-CN"/>
        </w:rPr>
        <w:t>2023</w:t>
      </w:r>
      <w:r>
        <w:rPr>
          <w:rFonts w:hint="eastAsia" w:ascii="宋体" w:hAnsi="宋体" w:eastAsia="仿宋_GB2312"/>
          <w:sz w:val="32"/>
          <w:szCs w:val="32"/>
          <w:lang w:val="en-US" w:eastAsia="zh-CN"/>
        </w:rPr>
        <w:t>年</w:t>
      </w:r>
      <w:r>
        <w:rPr>
          <w:rFonts w:hint="eastAsia" w:ascii="宋体" w:hAnsi="宋体" w:cstheme="minorEastAsia"/>
          <w:sz w:val="32"/>
          <w:szCs w:val="32"/>
          <w:lang w:val="en-US" w:eastAsia="zh-CN"/>
        </w:rPr>
        <w:t>4</w:t>
      </w:r>
      <w:r>
        <w:rPr>
          <w:rFonts w:hint="eastAsia" w:ascii="宋体" w:hAnsi="宋体" w:eastAsia="仿宋_GB2312"/>
          <w:sz w:val="32"/>
          <w:szCs w:val="32"/>
          <w:lang w:val="en-US" w:eastAsia="zh-CN"/>
        </w:rPr>
        <w:t>月</w:t>
      </w:r>
      <w:r>
        <w:rPr>
          <w:rFonts w:hint="eastAsia" w:ascii="宋体" w:hAnsi="宋体" w:cstheme="minorEastAsia"/>
          <w:sz w:val="32"/>
          <w:szCs w:val="32"/>
          <w:lang w:val="en-US" w:eastAsia="zh-CN"/>
        </w:rPr>
        <w:t>12</w:t>
      </w:r>
      <w:r>
        <w:rPr>
          <w:rFonts w:hint="eastAsia" w:ascii="宋体" w:hAnsi="宋体" w:eastAsia="仿宋_GB2312"/>
          <w:sz w:val="32"/>
          <w:szCs w:val="32"/>
          <w:lang w:val="en-US" w:eastAsia="zh-CN"/>
        </w:rPr>
        <w:t>日至</w:t>
      </w:r>
      <w:r>
        <w:rPr>
          <w:rFonts w:hint="eastAsia" w:ascii="宋体" w:hAnsi="宋体" w:cstheme="minorEastAsia"/>
          <w:sz w:val="32"/>
          <w:szCs w:val="32"/>
          <w:lang w:val="en-US" w:eastAsia="zh-CN"/>
        </w:rPr>
        <w:t>4</w:t>
      </w:r>
      <w:r>
        <w:rPr>
          <w:rFonts w:hint="eastAsia" w:ascii="宋体" w:hAnsi="宋体" w:eastAsia="仿宋_GB2312"/>
          <w:sz w:val="32"/>
          <w:szCs w:val="32"/>
          <w:lang w:val="en-US" w:eastAsia="zh-CN"/>
        </w:rPr>
        <w:t>月1</w:t>
      </w:r>
      <w:r>
        <w:rPr>
          <w:rFonts w:hint="eastAsia" w:ascii="宋体" w:hAnsi="宋体" w:cstheme="minorEastAsia"/>
          <w:sz w:val="32"/>
          <w:szCs w:val="32"/>
          <w:lang w:val="en-US" w:eastAsia="zh-CN"/>
        </w:rPr>
        <w:t>8</w:t>
      </w:r>
      <w:r>
        <w:rPr>
          <w:rFonts w:hint="eastAsia" w:ascii="宋体" w:hAnsi="宋体" w:eastAsia="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仿宋_GB2312"/>
          <w:sz w:val="32"/>
          <w:szCs w:val="32"/>
          <w:lang w:val="en-US" w:eastAsia="zh-CN"/>
        </w:rPr>
      </w:pPr>
      <w:r>
        <w:rPr>
          <w:rFonts w:hint="eastAsia" w:ascii="宋体" w:hAnsi="宋体" w:eastAsia="仿宋_GB2312"/>
          <w:sz w:val="32"/>
          <w:szCs w:val="32"/>
          <w:lang w:val="en-US" w:eastAsia="zh-CN"/>
        </w:rPr>
        <w:t>自公示之日起7天内，任何单位或个人对公示项目材料真实性和项目主要完成人、主要完成单位及排序等内容有异议的，需书面向云南建设基础设施投资股份有限公司设计管理部提出，并提供必要的证明文件。为便于核实，确保实事求是处理异议，提出异议的单位或者个人应当表明真实身份，并提供联系方式。我们将严格遵守工作纪律，履行保密义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sz w:val="32"/>
          <w:szCs w:val="32"/>
          <w:lang w:val="en-US" w:eastAsia="zh-CN"/>
        </w:rPr>
      </w:pPr>
      <w:r>
        <w:rPr>
          <w:rFonts w:hint="eastAsia" w:ascii="宋体" w:hAnsi="宋体" w:eastAsia="仿宋_GB2312"/>
          <w:sz w:val="32"/>
          <w:szCs w:val="32"/>
          <w:lang w:val="en-US" w:eastAsia="zh-CN"/>
        </w:rPr>
        <w:t>通讯地址：云南省昆明市经开区信息产业基地林溪路188号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仿宋_GB2312"/>
          <w:sz w:val="32"/>
          <w:szCs w:val="32"/>
          <w:lang w:val="en-US" w:eastAsia="zh-CN"/>
        </w:rPr>
      </w:pPr>
      <w:r>
        <w:rPr>
          <w:rFonts w:hint="eastAsia" w:ascii="宋体" w:hAnsi="宋体" w:eastAsia="仿宋_GB2312"/>
          <w:sz w:val="32"/>
          <w:szCs w:val="32"/>
          <w:lang w:val="en-US" w:eastAsia="zh-CN"/>
        </w:rPr>
        <w:t>联系单位：云南建设基础设施投资股份有限公司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sz w:val="32"/>
          <w:szCs w:val="32"/>
          <w:lang w:val="en-US" w:eastAsia="zh-CN"/>
        </w:rPr>
      </w:pPr>
      <w:r>
        <w:rPr>
          <w:rFonts w:hint="eastAsia" w:ascii="宋体" w:hAnsi="宋体" w:eastAsia="仿宋_GB2312"/>
          <w:sz w:val="32"/>
          <w:szCs w:val="32"/>
          <w:lang w:val="en-US" w:eastAsia="zh-CN"/>
        </w:rPr>
        <w:t>联系人：李</w:t>
      </w:r>
      <w:r>
        <w:rPr>
          <w:rFonts w:hint="eastAsia" w:ascii="宋体" w:hAnsi="宋体" w:eastAsia="仿宋_GB2312"/>
          <w:sz w:val="32"/>
          <w:szCs w:val="32"/>
          <w:lang w:val="en-US" w:eastAsia="zh-CN"/>
        </w:rPr>
        <w:t xml:space="preserve">  </w:t>
      </w:r>
      <w:r>
        <w:rPr>
          <w:rFonts w:hint="eastAsia" w:ascii="宋体" w:hAnsi="宋体" w:eastAsia="仿宋_GB2312"/>
          <w:sz w:val="32"/>
          <w:szCs w:val="32"/>
          <w:lang w:val="en-US" w:eastAsia="zh-CN"/>
        </w:rPr>
        <w:t>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宋体" w:hAnsi="宋体" w:eastAsia="仿宋_GB2312"/>
          <w:sz w:val="32"/>
          <w:szCs w:val="32"/>
          <w:lang w:val="en-US" w:eastAsia="zh-CN"/>
        </w:rPr>
      </w:pPr>
      <w:r>
        <w:rPr>
          <w:rFonts w:hint="eastAsia" w:ascii="宋体" w:hAnsi="宋体" w:eastAsia="仿宋_GB2312"/>
          <w:sz w:val="32"/>
          <w:szCs w:val="32"/>
          <w:lang w:val="en-US" w:eastAsia="zh-CN"/>
        </w:rPr>
        <w:t>联系电话：13529405169</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0" w:lineRule="exact"/>
        <w:ind w:left="1758" w:leftChars="380" w:hanging="960" w:hangingChars="300"/>
        <w:textAlignment w:val="auto"/>
        <w:rPr>
          <w:rFonts w:hint="eastAsia" w:ascii="宋体" w:hAnsi="宋体" w:eastAsia="仿宋_GB2312"/>
          <w:sz w:val="32"/>
          <w:szCs w:val="32"/>
        </w:rPr>
      </w:pPr>
      <w:r>
        <w:rPr>
          <w:rFonts w:hint="eastAsia" w:ascii="宋体" w:hAnsi="宋体" w:eastAsia="仿宋_GB2312"/>
          <w:sz w:val="32"/>
          <w:szCs w:val="32"/>
          <w:lang w:val="en-US" w:eastAsia="zh-CN"/>
        </w:rPr>
        <w:t>附件：隧道施工运营期结构安全监测与智能预警关键技术研究公示材料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right="420" w:rightChars="200"/>
        <w:jc w:val="right"/>
        <w:textAlignment w:val="auto"/>
        <w:rPr>
          <w:rFonts w:ascii="宋体" w:hAnsi="宋体" w:eastAsia="仿宋_GB2312"/>
          <w:sz w:val="32"/>
          <w:szCs w:val="32"/>
        </w:rPr>
      </w:pPr>
      <w:r>
        <w:rPr>
          <w:rFonts w:hint="eastAsia" w:ascii="宋体" w:hAnsi="宋体" w:eastAsia="仿宋_GB2312"/>
          <w:sz w:val="32"/>
          <w:szCs w:val="32"/>
        </w:rPr>
        <w:t xml:space="preserve">                云南建设基础设施投资股份有限公司</w:t>
      </w:r>
    </w:p>
    <w:p>
      <w:pPr>
        <w:keepNext w:val="0"/>
        <w:keepLines w:val="0"/>
        <w:pageBreakBefore w:val="0"/>
        <w:widowControl w:val="0"/>
        <w:kinsoku/>
        <w:wordWrap/>
        <w:overflowPunct/>
        <w:topLinePunct w:val="0"/>
        <w:autoSpaceDE/>
        <w:autoSpaceDN/>
        <w:bidi w:val="0"/>
        <w:adjustRightInd w:val="0"/>
        <w:snapToGrid w:val="0"/>
        <w:spacing w:line="570" w:lineRule="exact"/>
        <w:ind w:right="840" w:rightChars="400"/>
        <w:jc w:val="right"/>
        <w:textAlignment w:val="auto"/>
        <w:rPr>
          <w:rFonts w:hint="eastAsia" w:ascii="宋体" w:hAnsi="宋体" w:eastAsia="仿宋_GB2312"/>
          <w:sz w:val="32"/>
          <w:szCs w:val="32"/>
        </w:rPr>
      </w:pPr>
      <w:r>
        <w:rPr>
          <w:rFonts w:hint="eastAsia" w:ascii="宋体" w:hAnsi="宋体" w:eastAsia="仿宋_GB2312"/>
          <w:sz w:val="32"/>
          <w:szCs w:val="32"/>
        </w:rPr>
        <w:t xml:space="preserve">                               </w:t>
      </w:r>
      <w:r>
        <w:rPr>
          <w:rFonts w:hint="eastAsia" w:ascii="宋体" w:hAnsi="宋体" w:eastAsia="仿宋_GB2312"/>
          <w:sz w:val="32"/>
          <w:szCs w:val="32"/>
          <w:lang w:val="en-US" w:eastAsia="zh-CN"/>
        </w:rPr>
        <w:t xml:space="preserve"> </w:t>
      </w:r>
      <w:r>
        <w:rPr>
          <w:rFonts w:hint="eastAsia" w:ascii="宋体" w:hAnsi="宋体" w:eastAsiaTheme="minorEastAsia" w:cstheme="minorEastAsia"/>
          <w:sz w:val="32"/>
          <w:szCs w:val="32"/>
        </w:rPr>
        <w:t>2023</w:t>
      </w:r>
      <w:r>
        <w:rPr>
          <w:rFonts w:hint="eastAsia" w:ascii="宋体" w:hAnsi="宋体" w:eastAsia="仿宋_GB2312"/>
          <w:sz w:val="32"/>
          <w:szCs w:val="32"/>
        </w:rPr>
        <w:t>年</w:t>
      </w:r>
      <w:r>
        <w:rPr>
          <w:rFonts w:hint="eastAsia" w:ascii="宋体" w:hAnsi="宋体" w:cstheme="minorEastAsia"/>
          <w:sz w:val="32"/>
          <w:szCs w:val="32"/>
          <w:lang w:val="en-US" w:eastAsia="zh-CN"/>
        </w:rPr>
        <w:t>4</w:t>
      </w:r>
      <w:r>
        <w:rPr>
          <w:rFonts w:hint="eastAsia" w:ascii="宋体" w:hAnsi="宋体" w:eastAsia="仿宋_GB2312"/>
          <w:sz w:val="32"/>
          <w:szCs w:val="32"/>
        </w:rPr>
        <w:t>月</w:t>
      </w:r>
      <w:r>
        <w:rPr>
          <w:rFonts w:hint="eastAsia" w:ascii="宋体" w:hAnsi="宋体" w:cstheme="minorEastAsia"/>
          <w:sz w:val="32"/>
          <w:szCs w:val="32"/>
          <w:lang w:val="en-US" w:eastAsia="zh-CN"/>
        </w:rPr>
        <w:t>10</w:t>
      </w:r>
      <w:r>
        <w:rPr>
          <w:rFonts w:hint="eastAsia" w:ascii="宋体" w:hAnsi="宋体" w:eastAsia="仿宋_GB2312"/>
          <w:sz w:val="32"/>
          <w:szCs w:val="32"/>
        </w:rPr>
        <w:t>日</w:t>
      </w:r>
    </w:p>
    <w:p>
      <w:pPr>
        <w:rPr>
          <w:rFonts w:hint="eastAsia" w:ascii="宋体" w:hAnsi="宋体" w:eastAsia="仿宋_GB2312"/>
          <w:sz w:val="32"/>
          <w:szCs w:val="32"/>
        </w:rPr>
      </w:pPr>
      <w:r>
        <w:rPr>
          <w:rFonts w:hint="eastAsia" w:ascii="宋体" w:hAnsi="宋体" w:eastAsia="仿宋_GB2312"/>
          <w:sz w:val="32"/>
          <w:szCs w:val="32"/>
        </w:rPr>
        <w:br w:type="page"/>
      </w:r>
    </w:p>
    <w:p>
      <w:pPr>
        <w:keepNext w:val="0"/>
        <w:keepLines w:val="0"/>
        <w:pageBreakBefore w:val="0"/>
        <w:kinsoku/>
        <w:wordWrap/>
        <w:overflowPunct/>
        <w:topLinePunct w:val="0"/>
        <w:autoSpaceDE/>
        <w:autoSpaceDN/>
        <w:bidi w:val="0"/>
        <w:spacing w:line="600" w:lineRule="exact"/>
        <w:ind w:left="960" w:leftChars="0" w:hanging="960" w:hangingChars="300"/>
        <w:jc w:val="left"/>
        <w:outlineLvl w:val="0"/>
        <w:rPr>
          <w:rFonts w:hint="eastAsia" w:ascii="宋体" w:hAnsi="宋体" w:eastAsia="黑体" w:cs="黑体"/>
          <w:b w:val="0"/>
          <w:bCs/>
          <w:sz w:val="32"/>
          <w:szCs w:val="32"/>
          <w:lang w:val="en-US" w:eastAsia="zh-CN"/>
        </w:rPr>
      </w:pPr>
      <w:r>
        <w:rPr>
          <w:rFonts w:hint="eastAsia" w:ascii="宋体" w:hAnsi="宋体" w:eastAsia="黑体" w:cs="黑体"/>
          <w:b w:val="0"/>
          <w:bCs/>
          <w:sz w:val="32"/>
          <w:szCs w:val="32"/>
          <w:lang w:val="en-US" w:eastAsia="zh-CN"/>
        </w:rPr>
        <w:t>附件</w:t>
      </w:r>
    </w:p>
    <w:p>
      <w:pPr>
        <w:keepNext w:val="0"/>
        <w:keepLines w:val="0"/>
        <w:pageBreakBefore w:val="0"/>
        <w:kinsoku/>
        <w:wordWrap/>
        <w:overflowPunct/>
        <w:topLinePunct w:val="0"/>
        <w:autoSpaceDE/>
        <w:autoSpaceDN/>
        <w:bidi w:val="0"/>
        <w:spacing w:line="600" w:lineRule="exact"/>
        <w:ind w:left="1320" w:leftChars="0" w:hanging="1320" w:hangingChars="300"/>
        <w:jc w:val="center"/>
        <w:outlineLvl w:val="0"/>
        <w:rPr>
          <w:rFonts w:hint="eastAsia" w:ascii="宋体" w:hAnsi="宋体" w:eastAsia="方正小标宋简体" w:cs="方正小标宋简体"/>
          <w:b w:val="0"/>
          <w:bCs/>
          <w:sz w:val="44"/>
          <w:szCs w:val="44"/>
          <w:lang w:eastAsia="zh-CN"/>
        </w:rPr>
      </w:pPr>
      <w:r>
        <w:rPr>
          <w:rFonts w:hint="eastAsia" w:ascii="宋体" w:hAnsi="宋体" w:eastAsia="方正小标宋简体" w:cs="方正小标宋简体"/>
          <w:b w:val="0"/>
          <w:bCs/>
          <w:sz w:val="44"/>
          <w:szCs w:val="44"/>
          <w:lang w:eastAsia="zh-CN"/>
        </w:rPr>
        <w:t>隧道施工运营期结构安全监测</w:t>
      </w:r>
    </w:p>
    <w:p>
      <w:pPr>
        <w:keepNext w:val="0"/>
        <w:keepLines w:val="0"/>
        <w:pageBreakBefore w:val="0"/>
        <w:kinsoku/>
        <w:wordWrap/>
        <w:overflowPunct/>
        <w:topLinePunct w:val="0"/>
        <w:autoSpaceDE/>
        <w:autoSpaceDN/>
        <w:bidi w:val="0"/>
        <w:spacing w:line="600" w:lineRule="exact"/>
        <w:ind w:left="1320" w:leftChars="0" w:hanging="1320" w:hangingChars="300"/>
        <w:jc w:val="center"/>
        <w:outlineLvl w:val="0"/>
        <w:rPr>
          <w:rFonts w:hint="eastAsia" w:ascii="宋体" w:hAnsi="宋体" w:eastAsia="方正小标宋简体" w:cs="方正小标宋简体"/>
          <w:b w:val="0"/>
          <w:bCs/>
          <w:sz w:val="44"/>
          <w:szCs w:val="44"/>
          <w:lang w:val="en-US" w:eastAsia="zh-CN"/>
        </w:rPr>
      </w:pPr>
      <w:r>
        <w:rPr>
          <w:rFonts w:hint="eastAsia" w:ascii="宋体" w:hAnsi="宋体" w:eastAsia="方正小标宋简体" w:cs="方正小标宋简体"/>
          <w:b w:val="0"/>
          <w:bCs/>
          <w:sz w:val="44"/>
          <w:szCs w:val="44"/>
          <w:lang w:eastAsia="zh-CN"/>
        </w:rPr>
        <w:t>与智能预警关键技术研究</w:t>
      </w:r>
      <w:r>
        <w:rPr>
          <w:rFonts w:hint="eastAsia" w:ascii="宋体" w:hAnsi="宋体" w:eastAsia="方正小标宋简体" w:cs="方正小标宋简体"/>
          <w:b w:val="0"/>
          <w:bCs/>
          <w:sz w:val="44"/>
          <w:szCs w:val="44"/>
          <w:lang w:val="en-US" w:eastAsia="zh-CN"/>
        </w:rPr>
        <w:t>公示材料</w:t>
      </w:r>
    </w:p>
    <w:p>
      <w:pPr>
        <w:pStyle w:val="2"/>
        <w:keepNext w:val="0"/>
        <w:keepLines w:val="0"/>
        <w:pageBreakBefore w:val="0"/>
        <w:kinsoku/>
        <w:wordWrap/>
        <w:overflowPunct/>
        <w:topLinePunct w:val="0"/>
        <w:autoSpaceDE/>
        <w:autoSpaceDN/>
        <w:bidi w:val="0"/>
        <w:spacing w:line="600" w:lineRule="exact"/>
        <w:rPr>
          <w:rFonts w:hint="eastAsia"/>
          <w:lang w:val="en-US" w:eastAsia="zh-CN"/>
        </w:rPr>
      </w:pPr>
    </w:p>
    <w:p>
      <w:pPr>
        <w:keepNext w:val="0"/>
        <w:keepLines w:val="0"/>
        <w:pageBreakBefore w:val="0"/>
        <w:kinsoku/>
        <w:wordWrap/>
        <w:overflowPunct/>
        <w:topLinePunct w:val="0"/>
        <w:autoSpaceDE/>
        <w:autoSpaceDN/>
        <w:bidi w:val="0"/>
        <w:spacing w:line="600" w:lineRule="exact"/>
        <w:ind w:firstLine="640" w:firstLineChars="200"/>
        <w:jc w:val="left"/>
        <w:outlineLvl w:val="0"/>
        <w:rPr>
          <w:rFonts w:hint="eastAsia" w:ascii="宋体" w:hAnsi="宋体" w:eastAsia="黑体" w:cs="黑体"/>
          <w:b w:val="0"/>
          <w:bCs/>
          <w:sz w:val="32"/>
          <w:szCs w:val="32"/>
          <w:lang w:val="en-US" w:eastAsia="zh-CN"/>
        </w:rPr>
      </w:pPr>
      <w:r>
        <w:rPr>
          <w:rFonts w:hint="eastAsia" w:ascii="宋体" w:hAnsi="宋体" w:eastAsia="黑体" w:cs="黑体"/>
          <w:b w:val="0"/>
          <w:bCs/>
          <w:sz w:val="32"/>
          <w:szCs w:val="32"/>
          <w:lang w:val="en-US" w:eastAsia="zh-CN"/>
        </w:rPr>
        <w:t>一、项目基本情况</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项目名称：隧道施工运营期结构安全监测与智能预警关键技术研究</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科技成果登记号：1642022Y0004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主要完成人：段军、丁浩、王忠伟、杨志华、闻乃君、郭鸿雁、张家颖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主要完成单位：施甸县保施高速公路投资开发有限公司，招商局重庆交通科研设计院有限公司，云南建设基础设施投资股份有限公司，云南省建设投资控股集团有限公司</w:t>
      </w:r>
    </w:p>
    <w:p>
      <w:pPr>
        <w:keepNext w:val="0"/>
        <w:keepLines w:val="0"/>
        <w:pageBreakBefore w:val="0"/>
        <w:kinsoku/>
        <w:wordWrap/>
        <w:overflowPunct/>
        <w:topLinePunct w:val="0"/>
        <w:autoSpaceDE/>
        <w:autoSpaceDN/>
        <w:bidi w:val="0"/>
        <w:spacing w:line="600" w:lineRule="exact"/>
        <w:ind w:left="0" w:leftChars="0" w:firstLine="640" w:firstLineChars="200"/>
        <w:rPr>
          <w:rFonts w:hint="eastAsia" w:ascii="宋体" w:hAnsi="宋体" w:eastAsia="仿宋_GB2312" w:cs="仿宋_GB2312"/>
          <w:color w:val="FF0000"/>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提名等级：</w:t>
      </w:r>
      <w:r>
        <w:rPr>
          <w:rFonts w:hint="eastAsia" w:ascii="宋体" w:hAnsi="宋体" w:eastAsia="仿宋_GB2312" w:cs="仿宋_GB2312"/>
          <w:color w:val="auto"/>
          <w:kern w:val="2"/>
          <w:sz w:val="32"/>
          <w:szCs w:val="32"/>
          <w:highlight w:val="none"/>
          <w:lang w:val="en-US" w:eastAsia="zh-CN" w:bidi="ar-SA"/>
        </w:rPr>
        <w:t>拟提名2023年云南省科学技术进步奖三等奖。</w:t>
      </w:r>
    </w:p>
    <w:p>
      <w:pPr>
        <w:keepNext w:val="0"/>
        <w:keepLines w:val="0"/>
        <w:pageBreakBefore w:val="0"/>
        <w:kinsoku/>
        <w:wordWrap/>
        <w:overflowPunct/>
        <w:topLinePunct w:val="0"/>
        <w:autoSpaceDE/>
        <w:autoSpaceDN/>
        <w:bidi w:val="0"/>
        <w:spacing w:line="600" w:lineRule="exact"/>
        <w:ind w:left="0" w:leftChars="0" w:firstLine="640" w:firstLineChars="200"/>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提名单位：云南省建设投资控股集团有限公司</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left"/>
        <w:rPr>
          <w:rFonts w:hint="eastAsia" w:ascii="宋体" w:hAnsi="宋体" w:eastAsia="黑体" w:cs="黑体"/>
          <w:b w:val="0"/>
          <w:bCs/>
          <w:sz w:val="32"/>
          <w:szCs w:val="32"/>
          <w:lang w:val="en-US" w:eastAsia="zh-CN"/>
        </w:rPr>
      </w:pPr>
      <w:r>
        <w:rPr>
          <w:rFonts w:hint="eastAsia" w:ascii="宋体" w:hAnsi="宋体" w:eastAsia="黑体" w:cs="黑体"/>
          <w:b w:val="0"/>
          <w:bCs/>
          <w:sz w:val="32"/>
          <w:szCs w:val="32"/>
          <w:lang w:val="en-US" w:eastAsia="zh-CN"/>
        </w:rPr>
        <w:t>二、项目简介</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本课题依托保施高速公路，针对隧道施工运营期健康监测脱节，结构安全状态评价、处治决策缺乏有效手段的难题，通过文献与工程调研、理论分析、数值计算、系统平台研发、工程试验与应用等手段开展了系统的研究，主要创新点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1.引入岩体材料极限应变破坏理论，通过数值极限分析提出了软弱地层、浅埋偏压地层以及大断面隧道全寿命周期结构健康易损关键部位、损伤特征、损伤发展规律、渐进破坏过程、失稳破坏判据以及分级破坏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2.通过大数据挖掘与分析、离散元仿真分析、人工智能分析以及虚拟现实仿真分析，提出了基于“结构承载性能”综合判定的隧道带伤衬砌结构长期服役性能评价方法与分级评价标准。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3.基于结构位移非接触式实时监测、图像特征精确识别、无线扩频通讯等技术研发了集结构位移自动监测、典型病害靶向监测、远距离无中继无线通讯为一体的隧道施工运营全寿命周期结构健康监测与智能预警系统装备，并搭建了可视化的预警平台，构建了隧道全寿命周期的监测预警体系。</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left"/>
        <w:rPr>
          <w:rFonts w:hint="eastAsia" w:ascii="宋体" w:hAnsi="宋体" w:eastAsia="黑体" w:cs="黑体"/>
          <w:b w:val="0"/>
          <w:bCs/>
          <w:sz w:val="32"/>
          <w:szCs w:val="32"/>
          <w:lang w:val="en-US" w:eastAsia="zh-CN"/>
        </w:rPr>
      </w:pPr>
      <w:r>
        <w:rPr>
          <w:rFonts w:hint="eastAsia" w:ascii="宋体" w:hAnsi="宋体" w:eastAsia="黑体" w:cs="黑体"/>
          <w:b w:val="0"/>
          <w:bCs/>
          <w:sz w:val="32"/>
          <w:szCs w:val="32"/>
          <w:lang w:val="en-US" w:eastAsia="zh-CN"/>
        </w:rPr>
        <w:t>三、完成人对项目贡献情况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一完成人段军：项目公司董事长，对项目的第1-3项创新点做出突出贡献，负责项目的总体协调工作，把关研究总体方案及示范项目建设方案，参与项目关键技术的研究，对项目中出现的技术开发及落地应用难题提出针对性的解决方法，并积极对该项目成果进行推广应用。在该项工作中投入的工作量占本人同期工作总量的70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二完成人丁浩：科研单位负责人，主持项目研发工作的全过程，对项目的创新点做出突出贡献，审核研发工作技术方案，并于国内外类似技术进行综合比较，对研发工作先进性进行总体把关，推动研究成果的应用。在该项工作中投入的工作量占本人同期工作总量的60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三完成人王忠伟：项目公司技术负责人，参与整个科研项目及示范工程建设的全过程，对项目的第1-3项创新点做出突出贡献，负责项目施工技术、方案管理及现场技术指导工作，参与项目技术难题解决，总结技术，申报成果。在该项工作中投入的工作量占本人同期工作总量的60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四完成人杨志华：项目公司总经理，参与了整个科研项目及示范工程建设的全过程，对项目的第1-3项创新点做出突出贡献，负责项目现场总体方案实施，进行落地应用组织协调，解决现场应用过程中的生产问题，推动项目成果的应用，在该项工作中投入的工作量占本人同期工作总量的60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五完成人闻乃君：项目公司财务总监，参与了整个科研项目及示范工程建设的全过程，对项目的第1-2项创新点做出突出贡献，对建设方案总体把控，研究方案应用到施工现场的可行性，推动项目成果的应用。在该项工作中投入的工作量占本人同期工作总量的60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六完成人郭鸿雁：科研单位技术负责人，参与了整个科研项目及示范工程建设的全过程，对项目的第1-2项创新点做出突出贡献，制定项目研究方案，开展具体研究工作。在该项工作中投入的工作量占本人同期工作总量的60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七完成人张家颖：项目公司总经济师，参与了整个科研项目及示范工程建设的全过程，对项目的第1-2项创新点做出突出贡献，对研究及建设投资方案总体把控，分析落地应用及示范推广的可行性，推动项目成果的应用。在该项工作中投入的工作量占本人同期工作总量的60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宋体" w:hAnsi="宋体" w:eastAsia="黑体" w:cs="黑体"/>
          <w:b w:val="0"/>
          <w:bCs w:val="0"/>
          <w:kern w:val="2"/>
          <w:sz w:val="32"/>
          <w:szCs w:val="32"/>
          <w:highlight w:val="none"/>
          <w:lang w:val="en-US" w:eastAsia="zh-CN" w:bidi="ar-SA"/>
        </w:rPr>
      </w:pPr>
      <w:r>
        <w:rPr>
          <w:rFonts w:hint="eastAsia" w:ascii="宋体" w:hAnsi="宋体" w:eastAsia="黑体" w:cs="黑体"/>
          <w:b w:val="0"/>
          <w:bCs w:val="0"/>
          <w:kern w:val="2"/>
          <w:sz w:val="32"/>
          <w:szCs w:val="32"/>
          <w:highlight w:val="none"/>
          <w:lang w:val="en-US" w:eastAsia="zh-CN" w:bidi="ar-SA"/>
        </w:rPr>
        <w:t>四、完成单位对项目的贡献情况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第一完成单位：施甸县保施高速公路投资开发有限公司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全面负责本项目的研发、实施、验收、技术总结工作，落实研发经费、人员、设备、试验场地。负责本项目的技术路线、实施目标的制定，组织协调任务分工，进行深化设计、技术研发、试验运行，并及时进行技术成果总结和申报，选定和落实应用工程推广应用。取得了相应的技术成果，实现了显著的社会经济效益，对本项目的全面实施做出巨大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第二完成单位：招商局重庆交通科研设计院有限公司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参与本项目的研发、实施、验收、技术总结工作，配合项目进行科技成果评价。参与项目的技术路线、实施目标的制定，提供专家给予技术支持并对研究成果总结进行指导，负责协调外部关系积极对该项目进行推广应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第三完成单位：云南建设基础设施投资股份有限公司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全面参与本项目的研发、实施、验收、技术总结工作，组织进行项目成果评价，参与项目的技术路线、实施目标的制定，对项目技术方案总体把控，提供专家给予技术支持并对研究成果总结进行指导，负责协调外部关系积极对该项目进行推广应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第四完成单位：云南省建设投资控股集团有限公司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参与本项目的研发、实施、验收，项目研究方案确定后，配合相关技术人员进行设备现场安装，试验数据收集及分析，对该项目进行推广应用。</w:t>
      </w:r>
    </w:p>
    <w:p>
      <w:pPr>
        <w:keepNext w:val="0"/>
        <w:keepLines w:val="0"/>
        <w:pageBreakBefore w:val="0"/>
        <w:kinsoku/>
        <w:wordWrap/>
        <w:overflowPunct/>
        <w:topLinePunct w:val="0"/>
        <w:autoSpaceDE/>
        <w:autoSpaceDN/>
        <w:bidi w:val="0"/>
        <w:spacing w:line="600" w:lineRule="exact"/>
        <w:ind w:firstLine="640" w:firstLineChars="200"/>
        <w:rPr>
          <w:rFonts w:hint="eastAsia" w:ascii="宋体" w:hAnsi="宋体" w:eastAsia="黑体" w:cs="黑体"/>
          <w:b w:val="0"/>
          <w:bCs/>
          <w:sz w:val="32"/>
          <w:szCs w:val="32"/>
          <w:highlight w:val="none"/>
          <w:lang w:val="en-US" w:eastAsia="zh-CN"/>
        </w:rPr>
      </w:pPr>
      <w:r>
        <w:rPr>
          <w:rFonts w:hint="eastAsia" w:ascii="宋体" w:hAnsi="宋体" w:eastAsia="黑体" w:cs="黑体"/>
          <w:b w:val="0"/>
          <w:bCs/>
          <w:sz w:val="32"/>
          <w:szCs w:val="32"/>
          <w:highlight w:val="none"/>
          <w:lang w:val="en-US" w:eastAsia="zh-CN"/>
        </w:rPr>
        <w:t>五、</w:t>
      </w:r>
      <w:r>
        <w:rPr>
          <w:rFonts w:hint="eastAsia" w:ascii="宋体" w:hAnsi="宋体" w:eastAsia="黑体" w:cs="黑体"/>
          <w:b w:val="0"/>
          <w:bCs/>
          <w:sz w:val="32"/>
          <w:szCs w:val="32"/>
          <w:highlight w:val="none"/>
        </w:rPr>
        <w:t>主要知识产权和标准规范等目录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宋体" w:hAnsi="宋体" w:eastAsia="仿宋_GB2312" w:cs="仿宋_GB2312"/>
          <w:b/>
          <w:bCs w:val="0"/>
          <w:sz w:val="32"/>
          <w:szCs w:val="32"/>
          <w:highlight w:val="none"/>
          <w:lang w:val="en-US" w:eastAsia="zh-CN"/>
        </w:rPr>
      </w:pPr>
      <w:r>
        <w:rPr>
          <w:rFonts w:hint="eastAsia" w:ascii="宋体" w:hAnsi="宋体" w:eastAsia="仿宋_GB2312" w:cs="仿宋_GB2312"/>
          <w:b/>
          <w:bCs w:val="0"/>
          <w:sz w:val="32"/>
          <w:szCs w:val="32"/>
          <w:highlight w:val="none"/>
          <w:lang w:val="en-US" w:eastAsia="zh-CN"/>
        </w:rPr>
        <w:t>1.专著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bCs/>
          <w:sz w:val="32"/>
          <w:szCs w:val="32"/>
          <w:highlight w:val="none"/>
          <w:lang w:val="en-US" w:eastAsia="zh-CN"/>
        </w:rPr>
      </w:pPr>
      <w:r>
        <w:rPr>
          <w:rFonts w:hint="eastAsia" w:ascii="宋体" w:hAnsi="宋体" w:eastAsia="仿宋_GB2312" w:cs="仿宋_GB2312"/>
          <w:bCs/>
          <w:sz w:val="32"/>
          <w:szCs w:val="32"/>
          <w:highlight w:val="none"/>
          <w:lang w:val="en-US" w:eastAsia="zh-CN"/>
        </w:rPr>
        <w:t>段军，李科，杨志华.隧道全寿命周期监测预警技术与系统平台应用.西南交通大学出版社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宋体" w:hAnsi="宋体" w:eastAsia="仿宋_GB2312" w:cs="仿宋_GB2312"/>
          <w:b/>
          <w:bCs w:val="0"/>
          <w:sz w:val="32"/>
          <w:szCs w:val="32"/>
          <w:highlight w:val="none"/>
          <w:lang w:val="en-US" w:eastAsia="zh-CN"/>
        </w:rPr>
      </w:pPr>
      <w:r>
        <w:rPr>
          <w:rFonts w:hint="eastAsia" w:ascii="宋体" w:hAnsi="宋体" w:eastAsia="仿宋_GB2312" w:cs="仿宋_GB2312"/>
          <w:b/>
          <w:bCs w:val="0"/>
          <w:sz w:val="32"/>
          <w:szCs w:val="32"/>
          <w:highlight w:val="none"/>
          <w:lang w:val="en-US" w:eastAsia="zh-CN"/>
        </w:rPr>
        <w:t>2.论文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kern w:val="2"/>
          <w:sz w:val="32"/>
          <w:szCs w:val="32"/>
          <w:highlight w:val="none"/>
          <w:lang w:val="en-US" w:eastAsia="zh-CN" w:bidi="ar-SA"/>
        </w:rPr>
      </w:pPr>
      <w:r>
        <w:rPr>
          <w:rFonts w:hint="eastAsia" w:ascii="宋体" w:hAnsi="宋体" w:eastAsia="仿宋_GB2312" w:cs="仿宋_GB2312"/>
          <w:bCs/>
          <w:sz w:val="32"/>
          <w:szCs w:val="32"/>
          <w:highlight w:val="none"/>
          <w:lang w:val="en-US" w:eastAsia="zh-CN"/>
        </w:rPr>
        <w:t>（1）昂洪生，马非，苏军伟等.</w:t>
      </w:r>
      <w:r>
        <w:rPr>
          <w:rFonts w:hint="eastAsia" w:ascii="宋体" w:hAnsi="宋体" w:eastAsia="宋体" w:cs="宋体"/>
          <w:bCs/>
          <w:sz w:val="32"/>
          <w:szCs w:val="32"/>
          <w:highlight w:val="none"/>
          <w:lang w:val="en-US" w:eastAsia="zh-CN"/>
        </w:rPr>
        <w:t xml:space="preserve"> Development and Application of Tunnel Apparent Distress Monitor</w:t>
      </w:r>
      <w:r>
        <w:rPr>
          <w:rFonts w:hint="eastAsia" w:ascii="宋体" w:hAnsi="宋体" w:eastAsia="宋体" w:cs="宋体"/>
          <w:kern w:val="2"/>
          <w:sz w:val="32"/>
          <w:szCs w:val="32"/>
          <w:highlight w:val="none"/>
          <w:lang w:val="en-US" w:eastAsia="zh-CN" w:bidi="ar-SA"/>
        </w:rPr>
        <w:t>ing System Based on Video Image Analysis..IOP Conference Series（</w:t>
      </w:r>
      <w:r>
        <w:rPr>
          <w:rFonts w:hint="eastAsia" w:ascii="宋体" w:hAnsi="宋体" w:eastAsia="宋体" w:cs="宋体"/>
          <w:kern w:val="2"/>
          <w:sz w:val="32"/>
          <w:szCs w:val="32"/>
          <w:highlight w:val="none"/>
          <w:lang w:val="en-US" w:eastAsia="zh-CN" w:bidi="ar-SA"/>
        </w:rPr>
        <w:fldChar w:fldCharType="begin"/>
      </w:r>
      <w:r>
        <w:rPr>
          <w:rFonts w:hint="eastAsia" w:ascii="宋体" w:hAnsi="宋体" w:eastAsia="宋体" w:cs="宋体"/>
          <w:kern w:val="2"/>
          <w:sz w:val="32"/>
          <w:szCs w:val="32"/>
          <w:highlight w:val="none"/>
          <w:lang w:val="en-US" w:eastAsia="zh-CN" w:bidi="ar-SA"/>
        </w:rPr>
        <w:instrText xml:space="preserve"> HYPERLINK "https://iopscience.iop.org/volume/1757-899X/741" </w:instrText>
      </w:r>
      <w:r>
        <w:rPr>
          <w:rFonts w:hint="eastAsia" w:ascii="宋体" w:hAnsi="宋体" w:eastAsia="宋体" w:cs="宋体"/>
          <w:kern w:val="2"/>
          <w:sz w:val="32"/>
          <w:szCs w:val="32"/>
          <w:highlight w:val="none"/>
          <w:lang w:val="en-US" w:eastAsia="zh-CN" w:bidi="ar-SA"/>
        </w:rPr>
        <w:fldChar w:fldCharType="separate"/>
      </w:r>
      <w:r>
        <w:rPr>
          <w:rFonts w:hint="eastAsia" w:ascii="宋体" w:hAnsi="宋体" w:eastAsia="宋体" w:cs="宋体"/>
          <w:kern w:val="2"/>
          <w:sz w:val="32"/>
          <w:szCs w:val="32"/>
          <w:highlight w:val="none"/>
          <w:lang w:val="en-US" w:eastAsia="zh-CN" w:bidi="ar-SA"/>
        </w:rPr>
        <w:t>Volume 741</w:t>
      </w:r>
      <w:r>
        <w:rPr>
          <w:rFonts w:hint="eastAsia" w:ascii="宋体" w:hAnsi="宋体" w:eastAsia="宋体" w:cs="宋体"/>
          <w:kern w:val="2"/>
          <w:sz w:val="32"/>
          <w:szCs w:val="32"/>
          <w:highlight w:val="none"/>
          <w:lang w:val="en-US" w:eastAsia="zh-CN" w:bidi="ar-SA"/>
        </w:rPr>
        <w:fldChar w:fldCharType="end"/>
      </w:r>
      <w:r>
        <w:rPr>
          <w:rFonts w:hint="eastAsia" w:ascii="宋体" w:hAnsi="宋体" w:eastAsia="宋体" w:cs="宋体"/>
          <w:kern w:val="2"/>
          <w:sz w:val="32"/>
          <w:szCs w:val="32"/>
          <w:highlight w:val="none"/>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（2）段军，黄灿荣，崔向阳等. Evaluation of a tunnel in Yunnan using CRD construction method.E3S Web of Conferences（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Volume 1</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36）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（3）王甲贤，李科，郭鸿雁Study on the Outburst Scheme of a Shallow Buried Bias Tunnel in Yunnan.IOP Conference Series（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 xml:space="preserve">Volume </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711）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（4）王忠伟，杨锐槐，郭鸿雁等. Study on Key Construction Procedures of CRD Method for Re Shuitang No.3 Tunnel.IOP Conference Series（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 xml:space="preserve">Volume </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711）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（5）杨希文，周轶峰，崔向阳等. Evaluation of a Tunnel Underpass Building Scheme in Yunnan Province.E3S Web of Conferences（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Volume 1</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36）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（6）杨志华，何汝苗，李科等. Parameter optimization of double side wall method for soft surrounding rock tunnel.E3S Web of Conferences（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Volume 1</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36）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（7）张良翰，李晓龙，马鑫云等. Displacement analysis of surrounding rock deformation of Baoding tunnel in Yunnan.E3S Web of Conferences（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Volume 1</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36）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（8）金飞，郭鸿雁，李科等.Development and Implementation of Structural Safety and Typical Distress Long Term Monitoring Technology for Operating Tunnels.IOP Conference Series（</w:t>
      </w:r>
      <w:r>
        <w:rPr>
          <w:rFonts w:hint="eastAsia" w:ascii="宋体" w:hAnsi="宋体" w:eastAsia="仿宋_GB2312" w:cs="仿宋_GB2312"/>
          <w:kern w:val="2"/>
          <w:sz w:val="32"/>
          <w:szCs w:val="32"/>
          <w:highlight w:val="none"/>
          <w:lang w:val="en-US" w:eastAsia="zh-CN" w:bidi="ar-SA"/>
        </w:rPr>
        <w:fldChar w:fldCharType="begin"/>
      </w:r>
      <w:r>
        <w:rPr>
          <w:rFonts w:hint="eastAsia" w:ascii="宋体" w:hAnsi="宋体" w:eastAsia="仿宋_GB2312" w:cs="仿宋_GB2312"/>
          <w:kern w:val="2"/>
          <w:sz w:val="32"/>
          <w:szCs w:val="32"/>
          <w:highlight w:val="none"/>
          <w:lang w:val="en-US" w:eastAsia="zh-CN" w:bidi="ar-SA"/>
        </w:rPr>
        <w:instrText xml:space="preserve"> HYPERLINK "https://iopscience.iop.org/volume/1757-899X/741" </w:instrText>
      </w:r>
      <w:r>
        <w:rPr>
          <w:rFonts w:hint="eastAsia" w:ascii="宋体" w:hAnsi="宋体" w:eastAsia="仿宋_GB2312" w:cs="仿宋_GB2312"/>
          <w:kern w:val="2"/>
          <w:sz w:val="32"/>
          <w:szCs w:val="32"/>
          <w:highlight w:val="none"/>
          <w:lang w:val="en-US" w:eastAsia="zh-CN" w:bidi="ar-SA"/>
        </w:rPr>
        <w:fldChar w:fldCharType="separate"/>
      </w:r>
      <w:r>
        <w:rPr>
          <w:rFonts w:hint="eastAsia" w:ascii="宋体" w:hAnsi="宋体" w:eastAsia="仿宋_GB2312" w:cs="仿宋_GB2312"/>
          <w:kern w:val="2"/>
          <w:sz w:val="32"/>
          <w:szCs w:val="32"/>
          <w:highlight w:val="none"/>
          <w:lang w:val="en-US" w:eastAsia="zh-CN" w:bidi="ar-SA"/>
        </w:rPr>
        <w:t>Volume 741</w:t>
      </w:r>
      <w:r>
        <w:rPr>
          <w:rFonts w:hint="eastAsia" w:ascii="宋体" w:hAnsi="宋体" w:eastAsia="仿宋_GB2312" w:cs="仿宋_GB2312"/>
          <w:kern w:val="2"/>
          <w:sz w:val="32"/>
          <w:szCs w:val="32"/>
          <w:highlight w:val="none"/>
          <w:lang w:val="en-US" w:eastAsia="zh-CN" w:bidi="ar-SA"/>
        </w:rPr>
        <w:fldChar w:fldCharType="end"/>
      </w:r>
      <w:r>
        <w:rPr>
          <w:rFonts w:hint="eastAsia" w:ascii="宋体" w:hAnsi="宋体" w:eastAsia="仿宋_GB2312" w:cs="仿宋_GB2312"/>
          <w:kern w:val="2"/>
          <w:sz w:val="32"/>
          <w:szCs w:val="32"/>
          <w:highlight w:val="none"/>
          <w:lang w:val="en-US" w:eastAsia="zh-CN" w:bidi="ar-SA"/>
        </w:rPr>
        <w:t>）</w:t>
      </w:r>
    </w:p>
    <w:p>
      <w:pPr>
        <w:rPr>
          <w:rFonts w:hint="eastAsia" w:ascii="宋体" w:hAnsi="宋体" w:eastAsia="仿宋_GB2312" w:cs="仿宋_GB2312"/>
          <w:b/>
          <w:bCs w:val="0"/>
          <w:sz w:val="32"/>
          <w:szCs w:val="32"/>
          <w:highlight w:val="none"/>
          <w:lang w:val="en-US" w:eastAsia="zh-CN"/>
        </w:rPr>
      </w:pPr>
      <w:r>
        <w:rPr>
          <w:rFonts w:hint="eastAsia" w:ascii="宋体" w:hAnsi="宋体" w:eastAsia="仿宋_GB2312" w:cs="仿宋_GB2312"/>
          <w:b/>
          <w:bCs w:val="0"/>
          <w:sz w:val="32"/>
          <w:szCs w:val="32"/>
          <w:highlight w:val="none"/>
          <w:lang w:val="en-US" w:eastAsia="zh-CN"/>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b/>
          <w:bCs w:val="0"/>
          <w:sz w:val="32"/>
          <w:szCs w:val="32"/>
          <w:highlight w:val="none"/>
          <w:lang w:val="en-US" w:eastAsia="zh-CN"/>
        </w:rPr>
        <w:t>3.专利</w:t>
      </w:r>
    </w:p>
    <w:tbl>
      <w:tblPr>
        <w:tblStyle w:val="7"/>
        <w:tblW w:w="90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7"/>
        <w:gridCol w:w="4485"/>
        <w:gridCol w:w="941"/>
        <w:gridCol w:w="1755"/>
        <w:gridCol w:w="12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序号</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获奖名称</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b/>
                <w:bCs/>
                <w:color w:val="auto"/>
                <w:kern w:val="2"/>
                <w:sz w:val="18"/>
                <w:szCs w:val="18"/>
                <w:highlight w:val="none"/>
                <w:lang w:val="en-US" w:eastAsia="zh-CN" w:bidi="ar-SA"/>
              </w:rPr>
            </w:pPr>
            <w:r>
              <w:rPr>
                <w:rFonts w:hint="eastAsia" w:ascii="宋体" w:hAnsi="宋体" w:eastAsia="宋体" w:cs="宋体"/>
                <w:b/>
                <w:bCs/>
                <w:color w:val="auto"/>
                <w:sz w:val="18"/>
                <w:szCs w:val="18"/>
                <w:highlight w:val="none"/>
                <w:lang w:val="en-US" w:eastAsia="zh-CN"/>
              </w:rPr>
              <w:t>类型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专利号</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b/>
                <w:bCs/>
                <w:color w:val="auto"/>
                <w:sz w:val="18"/>
                <w:szCs w:val="18"/>
                <w:highlight w:val="none"/>
                <w:lang w:val="en-US" w:eastAsia="zh-CN"/>
              </w:rPr>
            </w:pPr>
            <w:r>
              <w:rPr>
                <w:rFonts w:hint="eastAsia" w:ascii="宋体" w:hAnsi="宋体" w:eastAsia="宋体" w:cs="宋体"/>
                <w:b/>
                <w:bCs/>
                <w:color w:val="auto"/>
                <w:sz w:val="18"/>
                <w:szCs w:val="18"/>
                <w:highlight w:val="none"/>
                <w:lang w:val="en-US" w:eastAsia="zh-CN"/>
              </w:rPr>
              <w:t>授权日期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627"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断层处隧道结构全寿命监测预警方法</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ZL201910585160.X</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2021.05.11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变</w:t>
            </w:r>
            <w:r>
              <w:rPr>
                <w:rFonts w:hint="eastAsia" w:ascii="宋体" w:hAnsi="宋体" w:eastAsia="宋体" w:cs="宋体"/>
                <w:color w:val="auto"/>
                <w:sz w:val="18"/>
                <w:szCs w:val="18"/>
                <w:highlight w:val="none"/>
              </w:rPr>
              <w:t>截面处隧道结构全寿命监测预警方法</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ZL201910585830.8</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2021.05.11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超浅埋偏压隧道结构全寿命监测预警方法</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ZL201910591834.7</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2021.05.11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一种浅埋暗挖隧道地层稳定性多参数判别方法</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ZL201710531974.6</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2020.07.07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一种裂损隧道衬砌结构渗水特性的试验试件制备方法</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ZL201910218897.8</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2021.03.16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6</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一种利用综合物探技术的仰拱质量检测方法及系统</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发明</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ZL201810457856.X</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2020.11.13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7</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隧道结构位移近景摄影靶向监测系统</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ZL202021283672.5</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2021.01.01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8</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大比例尺隧道模型试验开挖装置</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ZL201820316228.5</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2018.09.04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9</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一种隧道裂损衬砌结构渗漏水特性试验系统</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ZL201921230232.0</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2020.04.07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一种集成式的公路隧道可变焦视觉检测系统</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ZL201920686786.5</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2019.12.17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一种隧道衬砌雷达检测辅助装置</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ZL202021393949.X</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2021.04.30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27" w:type="dxa"/>
            <w:shd w:val="clear" w:color="auto" w:fill="auto"/>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w:t>
            </w:r>
          </w:p>
        </w:tc>
        <w:tc>
          <w:tcPr>
            <w:tcW w:w="448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一种方便佩戴拆卸的隧道用水准仪</w:t>
            </w:r>
          </w:p>
        </w:tc>
        <w:tc>
          <w:tcPr>
            <w:tcW w:w="941"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实用新型</w:t>
            </w:r>
          </w:p>
        </w:tc>
        <w:tc>
          <w:tcPr>
            <w:tcW w:w="1755"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ZL202021711645.3</w:t>
            </w:r>
          </w:p>
        </w:tc>
        <w:tc>
          <w:tcPr>
            <w:tcW w:w="1290" w:type="dxa"/>
            <w:shd w:val="clear" w:color="auto" w:fill="auto"/>
            <w:vAlign w:val="center"/>
          </w:tcPr>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2021.05.04</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宋体" w:hAnsi="宋体" w:eastAsia="楷体_GB2312" w:cs="楷体_GB2312"/>
          <w:b/>
          <w:bCs w:val="0"/>
          <w:sz w:val="32"/>
          <w:szCs w:val="32"/>
          <w:highlight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宋体" w:hAnsi="宋体" w:eastAsia="仿宋_GB2312" w:cs="仿宋_GB2312"/>
          <w:b/>
          <w:bCs w:val="0"/>
          <w:sz w:val="32"/>
          <w:szCs w:val="32"/>
          <w:highlight w:val="none"/>
          <w:lang w:val="en-US" w:eastAsia="zh-CN"/>
        </w:rPr>
      </w:pPr>
      <w:r>
        <w:rPr>
          <w:rFonts w:hint="eastAsia" w:ascii="宋体" w:hAnsi="宋体" w:eastAsia="仿宋_GB2312" w:cs="仿宋_GB2312"/>
          <w:b/>
          <w:bCs w:val="0"/>
          <w:sz w:val="32"/>
          <w:szCs w:val="32"/>
          <w:highlight w:val="none"/>
          <w:lang w:val="en-US" w:eastAsia="zh-CN"/>
        </w:rPr>
        <w:t>4.软件著作权</w:t>
      </w:r>
    </w:p>
    <w:tbl>
      <w:tblPr>
        <w:tblStyle w:val="7"/>
        <w:tblW w:w="9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4029"/>
        <w:gridCol w:w="1322"/>
        <w:gridCol w:w="1635"/>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类型</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登记号</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登记时间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4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隧道全寿命周期结构安全监测与智能预警系统</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软件著作权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2021SR0154723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4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隧道典型安全隐患远程预警系统软件</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软件著作权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2021SR0154724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4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隧道养护信息管理云平台系统</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软件著作权</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2021SR0516697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600" w:lineRule="exact"/>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2021.04.09</w:t>
            </w:r>
          </w:p>
        </w:tc>
      </w:tr>
    </w:tbl>
    <w:p>
      <w:pPr>
        <w:keepNext w:val="0"/>
        <w:keepLines w:val="0"/>
        <w:pageBreakBefore w:val="0"/>
        <w:kinsoku/>
        <w:wordWrap/>
        <w:overflowPunct/>
        <w:topLinePunct w:val="0"/>
        <w:autoSpaceDE/>
        <w:autoSpaceDN/>
        <w:bidi w:val="0"/>
        <w:spacing w:line="600" w:lineRule="exact"/>
        <w:ind w:left="0" w:leftChars="0" w:firstLine="640" w:firstLineChars="200"/>
        <w:rPr>
          <w:rFonts w:hint="eastAsia" w:ascii="宋体" w:hAnsi="宋体" w:eastAsia="黑体" w:cs="黑体"/>
          <w:b w:val="0"/>
          <w:bCs w:val="0"/>
          <w:sz w:val="32"/>
          <w:szCs w:val="32"/>
          <w:highlight w:val="none"/>
          <w:lang w:val="en-US" w:eastAsia="zh-CN"/>
        </w:rPr>
      </w:pPr>
    </w:p>
    <w:p>
      <w:pPr>
        <w:keepNext w:val="0"/>
        <w:keepLines w:val="0"/>
        <w:pageBreakBefore w:val="0"/>
        <w:kinsoku/>
        <w:wordWrap/>
        <w:overflowPunct/>
        <w:topLinePunct w:val="0"/>
        <w:autoSpaceDE/>
        <w:autoSpaceDN/>
        <w:bidi w:val="0"/>
        <w:spacing w:line="600" w:lineRule="exact"/>
        <w:ind w:left="0" w:leftChars="0" w:firstLine="640" w:firstLineChars="200"/>
        <w:rPr>
          <w:rFonts w:hint="eastAsia" w:ascii="宋体" w:hAnsi="宋体" w:eastAsia="仿宋_GB2312" w:cs="仿宋_GB2312"/>
          <w:b/>
          <w:bCs/>
          <w:sz w:val="32"/>
          <w:szCs w:val="32"/>
          <w:highlight w:val="none"/>
        </w:rPr>
      </w:pPr>
      <w:r>
        <w:rPr>
          <w:rFonts w:hint="eastAsia" w:ascii="宋体" w:hAnsi="宋体" w:eastAsia="黑体" w:cs="黑体"/>
          <w:b w:val="0"/>
          <w:bCs w:val="0"/>
          <w:sz w:val="32"/>
          <w:szCs w:val="32"/>
          <w:highlight w:val="none"/>
          <w:lang w:val="en-US" w:eastAsia="zh-CN"/>
        </w:rPr>
        <w:t>六</w:t>
      </w:r>
      <w:r>
        <w:rPr>
          <w:rFonts w:hint="eastAsia" w:ascii="宋体" w:hAnsi="宋体" w:eastAsia="黑体" w:cs="黑体"/>
          <w:b w:val="0"/>
          <w:bCs w:val="0"/>
          <w:sz w:val="32"/>
          <w:szCs w:val="32"/>
          <w:highlight w:val="none"/>
        </w:rPr>
        <w:t>、曾获奖情况</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left"/>
        <w:rPr>
          <w:rFonts w:hint="eastAsia" w:ascii="宋体" w:hAnsi="宋体" w:eastAsia="仿宋_GB2312" w:cs="仿宋_GB2312"/>
          <w:b w:val="0"/>
          <w:bCs/>
          <w:sz w:val="32"/>
          <w:szCs w:val="32"/>
          <w:lang w:val="en-US" w:eastAsia="zh-CN"/>
        </w:rPr>
      </w:pPr>
      <w:r>
        <w:rPr>
          <w:rFonts w:hint="eastAsia" w:ascii="宋体" w:hAnsi="宋体" w:eastAsia="仿宋_GB2312" w:cs="仿宋_GB2312"/>
          <w:b w:val="0"/>
          <w:bCs/>
          <w:kern w:val="0"/>
          <w:sz w:val="32"/>
          <w:szCs w:val="32"/>
          <w:highlight w:val="none"/>
          <w:lang w:val="en-US" w:eastAsia="zh-CN" w:bidi="ar"/>
        </w:rPr>
        <w:t>1</w:t>
      </w:r>
      <w:r>
        <w:rPr>
          <w:rFonts w:hint="eastAsia" w:ascii="宋体" w:hAnsi="宋体" w:eastAsia="仿宋_GB2312" w:cs="仿宋_GB2312"/>
          <w:b w:val="0"/>
          <w:bCs/>
          <w:kern w:val="0"/>
          <w:sz w:val="32"/>
          <w:szCs w:val="32"/>
          <w:highlight w:val="none"/>
          <w:lang w:val="en-US" w:eastAsia="zh-CN" w:bidi="ar"/>
        </w:rPr>
        <w:t>.</w:t>
      </w:r>
      <w:r>
        <w:rPr>
          <w:rFonts w:hint="eastAsia" w:ascii="宋体" w:hAnsi="宋体" w:eastAsia="仿宋_GB2312" w:cs="仿宋_GB2312"/>
          <w:b w:val="0"/>
          <w:bCs/>
          <w:sz w:val="32"/>
          <w:szCs w:val="32"/>
          <w:lang w:val="en-US" w:eastAsia="zh-CN"/>
        </w:rPr>
        <w:t>中国公路学会科学技术二等奖</w:t>
      </w:r>
    </w:p>
    <w:p>
      <w:pPr>
        <w:pStyle w:val="2"/>
        <w:keepNext w:val="0"/>
        <w:keepLines w:val="0"/>
        <w:pageBreakBefore w:val="0"/>
        <w:kinsoku/>
        <w:wordWrap/>
        <w:overflowPunct/>
        <w:topLinePunct w:val="0"/>
        <w:autoSpaceDE/>
        <w:autoSpaceDN/>
        <w:bidi w:val="0"/>
        <w:spacing w:line="600" w:lineRule="exact"/>
        <w:ind w:left="0" w:leftChars="0" w:firstLine="640" w:firstLineChars="200"/>
        <w:rPr>
          <w:rFonts w:hint="eastAsia" w:ascii="宋体" w:hAnsi="宋体" w:eastAsia="仿宋_GB2312" w:cs="仿宋_GB2312"/>
          <w:bCs/>
          <w:sz w:val="32"/>
          <w:szCs w:val="32"/>
          <w:lang w:val="en-US" w:eastAsia="zh-CN"/>
        </w:rPr>
      </w:pPr>
      <w:r>
        <w:rPr>
          <w:rFonts w:hint="eastAsia" w:ascii="宋体" w:hAnsi="宋体" w:eastAsia="仿宋_GB2312" w:cs="仿宋_GB2312"/>
          <w:b w:val="0"/>
          <w:bCs/>
          <w:kern w:val="0"/>
          <w:sz w:val="32"/>
          <w:szCs w:val="32"/>
          <w:highlight w:val="none"/>
          <w:lang w:val="en-US" w:eastAsia="zh-CN" w:bidi="ar"/>
        </w:rPr>
        <w:t>2</w:t>
      </w:r>
      <w:r>
        <w:rPr>
          <w:rFonts w:hint="eastAsia" w:cs="仿宋_GB2312"/>
          <w:b w:val="0"/>
          <w:bCs/>
          <w:kern w:val="0"/>
          <w:sz w:val="32"/>
          <w:szCs w:val="32"/>
          <w:highlight w:val="none"/>
          <w:lang w:val="en-US" w:eastAsia="zh-CN" w:bidi="ar"/>
        </w:rPr>
        <w:t>.</w:t>
      </w:r>
      <w:r>
        <w:rPr>
          <w:rFonts w:hint="eastAsia" w:ascii="宋体" w:hAnsi="宋体" w:eastAsia="仿宋_GB2312" w:cs="仿宋_GB2312"/>
          <w:b w:val="0"/>
          <w:bCs/>
          <w:sz w:val="32"/>
          <w:szCs w:val="32"/>
          <w:lang w:val="en-US" w:eastAsia="zh-CN"/>
        </w:rPr>
        <w:t>云南交通科学技术二等奖</w:t>
      </w:r>
    </w:p>
    <w:p>
      <w:pPr>
        <w:pStyle w:val="2"/>
        <w:keepNext w:val="0"/>
        <w:keepLines w:val="0"/>
        <w:pageBreakBefore w:val="0"/>
        <w:kinsoku/>
        <w:wordWrap/>
        <w:overflowPunct/>
        <w:topLinePunct w:val="0"/>
        <w:autoSpaceDE/>
        <w:autoSpaceDN/>
        <w:bidi w:val="0"/>
        <w:spacing w:line="600" w:lineRule="exact"/>
        <w:ind w:left="0" w:leftChars="0" w:firstLine="640" w:firstLineChars="200"/>
        <w:rPr>
          <w:rFonts w:hint="default" w:ascii="宋体" w:hAnsi="宋体"/>
          <w:sz w:val="32"/>
          <w:szCs w:val="32"/>
          <w:lang w:val="en-US"/>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N2FjODU1M2QxNGQ2YjVlNGJmZDlmODZhZGFjZTgifQ=="/>
  </w:docVars>
  <w:rsids>
    <w:rsidRoot w:val="40371C62"/>
    <w:rsid w:val="0A6A48F1"/>
    <w:rsid w:val="10112673"/>
    <w:rsid w:val="23F5677C"/>
    <w:rsid w:val="24872D3A"/>
    <w:rsid w:val="2C840FE5"/>
    <w:rsid w:val="355D48F9"/>
    <w:rsid w:val="36963DEF"/>
    <w:rsid w:val="369C7CA5"/>
    <w:rsid w:val="37557082"/>
    <w:rsid w:val="3A2407A2"/>
    <w:rsid w:val="3B892174"/>
    <w:rsid w:val="3CBD0327"/>
    <w:rsid w:val="40371C62"/>
    <w:rsid w:val="42AF2F49"/>
    <w:rsid w:val="46DA1AD6"/>
    <w:rsid w:val="485B6C46"/>
    <w:rsid w:val="4A8E3303"/>
    <w:rsid w:val="5094251C"/>
    <w:rsid w:val="518C1C1F"/>
    <w:rsid w:val="527A416D"/>
    <w:rsid w:val="561D378D"/>
    <w:rsid w:val="571909B3"/>
    <w:rsid w:val="5C1B251D"/>
    <w:rsid w:val="5C2A6C04"/>
    <w:rsid w:val="5C606182"/>
    <w:rsid w:val="5F695CED"/>
    <w:rsid w:val="65130235"/>
    <w:rsid w:val="659F5F6D"/>
    <w:rsid w:val="662B3B46"/>
    <w:rsid w:val="6ABE6E95"/>
    <w:rsid w:val="6CB60071"/>
    <w:rsid w:val="6F8F2BAE"/>
    <w:rsid w:val="6FB84C04"/>
    <w:rsid w:val="713559D7"/>
    <w:rsid w:val="72EC1019"/>
    <w:rsid w:val="78E55F35"/>
    <w:rsid w:val="7F465FCD"/>
    <w:rsid w:val="7FAD2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widowControl w:val="0"/>
      <w:spacing w:after="120"/>
      <w:ind w:left="420" w:leftChars="200" w:firstLine="420" w:firstLineChars="200"/>
      <w:jc w:val="both"/>
    </w:pPr>
    <w:rPr>
      <w:rFonts w:ascii="宋体" w:hAnsi="宋体" w:eastAsia="仿宋_GB2312" w:cs="Times New Roman"/>
      <w:kern w:val="2"/>
      <w:sz w:val="28"/>
      <w:szCs w:val="32"/>
      <w:lang w:val="en-US" w:eastAsia="zh-CN" w:bidi="ar-SA"/>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云南建投集团</Company>
  <Pages>10</Pages>
  <Words>3281</Words>
  <Characters>4389</Characters>
  <Lines>0</Lines>
  <Paragraphs>0</Paragraphs>
  <TotalTime>25</TotalTime>
  <ScaleCrop>false</ScaleCrop>
  <LinksUpToDate>false</LinksUpToDate>
  <CharactersWithSpaces>4564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2023-03-23T07:30:00Z</dcterms:created>
  <dc:creator>李倩</dc:creator>
  <cp:lastModifiedBy>李倩</cp:lastModifiedBy>
  <dcterms:modified xsi:type="dcterms:W3CDTF">2023-04-12T09:35:17Z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02154AE00A3F4281AEB57B9B7269E00D_13</vt:lpwstr>
  </property>
</Properties>
</file>